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先</w:t>
      </w:r>
      <w:r>
        <w:rPr>
          <w:rFonts w:ascii="宋体" w:hAnsi="宋体" w:eastAsia="宋体" w:cs="宋体"/>
          <w:b/>
          <w:bCs/>
          <w:sz w:val="36"/>
          <w:szCs w:val="36"/>
        </w:rPr>
        <w:t>表彰工作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为了庆祝学会成立四十周年，经理事会讨论通过，学会决定开展表彰先进工作。现将评先有关事宜通知如下。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科技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期刊</w:t>
      </w:r>
      <w:r>
        <w:rPr>
          <w:rFonts w:ascii="宋体" w:hAnsi="宋体" w:eastAsia="宋体" w:cs="宋体"/>
          <w:sz w:val="24"/>
          <w:szCs w:val="24"/>
        </w:rPr>
        <w:t>编辑要坚定不移听党话，跟党走，怀抱理想又脚踏实地，敢想敢为，又善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作善成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</w:t>
      </w:r>
      <w:r>
        <w:rPr>
          <w:rFonts w:ascii="宋体" w:hAnsi="宋体" w:eastAsia="宋体" w:cs="宋体"/>
          <w:sz w:val="24"/>
          <w:szCs w:val="24"/>
        </w:rPr>
        <w:t>志做有理想、敢担当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能吃</w:t>
      </w:r>
      <w:r>
        <w:rPr>
          <w:rFonts w:ascii="宋体" w:hAnsi="宋体" w:eastAsia="宋体" w:cs="宋体"/>
          <w:sz w:val="24"/>
          <w:szCs w:val="24"/>
        </w:rPr>
        <w:t>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肯奋斗的新时代优秀编辑，在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</w:t>
      </w:r>
      <w:r>
        <w:rPr>
          <w:rFonts w:ascii="宋体" w:hAnsi="宋体" w:eastAsia="宋体" w:cs="宋体"/>
          <w:sz w:val="24"/>
          <w:szCs w:val="24"/>
        </w:rPr>
        <w:t>世界一流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科技期刊</w:t>
      </w:r>
      <w:r>
        <w:rPr>
          <w:rFonts w:ascii="宋体" w:hAnsi="宋体" w:eastAsia="宋体" w:cs="宋体"/>
          <w:sz w:val="24"/>
          <w:szCs w:val="24"/>
        </w:rPr>
        <w:t>的工作中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</w:t>
      </w:r>
      <w:r>
        <w:rPr>
          <w:rFonts w:ascii="宋体" w:hAnsi="宋体" w:eastAsia="宋体" w:cs="宋体"/>
          <w:sz w:val="24"/>
          <w:szCs w:val="24"/>
        </w:rPr>
        <w:t>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所有申报先进的无论是个人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还是集体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申报材料都要突出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指导思想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4"/>
          <w:szCs w:val="24"/>
        </w:rPr>
        <w:t>评选办法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除特殊贡献奖外，其余奖项都必须申报。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三、评审委员会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主任委员  邱观建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副主任委员  马廉亭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委  员  待定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sz w:val="24"/>
          <w:szCs w:val="24"/>
        </w:rPr>
        <w:t>评比表彰项目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集体奖项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改革创新先进集体奖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1.数额15</w:t>
      </w:r>
      <w:r>
        <w:rPr>
          <w:rFonts w:ascii="宋体" w:hAnsi="宋体" w:eastAsia="宋体" w:cs="宋体"/>
          <w:sz w:val="24"/>
          <w:szCs w:val="24"/>
        </w:rPr>
        <w:t>个左右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评选办法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参评条件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在期刊运营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管理方面取得显著成果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在制定创新发展策略、期刊改制方面有独创性，成果显著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集群化</w:t>
      </w:r>
      <w:r>
        <w:rPr>
          <w:rFonts w:ascii="宋体" w:hAnsi="宋体" w:eastAsia="宋体" w:cs="宋体"/>
          <w:sz w:val="24"/>
          <w:szCs w:val="24"/>
        </w:rPr>
        <w:t>管理机制方面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堪</w:t>
      </w:r>
      <w:r>
        <w:rPr>
          <w:rFonts w:ascii="宋体" w:hAnsi="宋体" w:eastAsia="宋体" w:cs="宋体"/>
          <w:sz w:val="24"/>
          <w:szCs w:val="24"/>
        </w:rPr>
        <w:t>为榜样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在媒体融合方面业绩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其他方面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要有3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000字左右的事迹材料及相应的证明材料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</w:t>
      </w:r>
      <w:r>
        <w:rPr>
          <w:rFonts w:ascii="宋体" w:hAnsi="宋体" w:eastAsia="宋体" w:cs="宋体"/>
          <w:sz w:val="24"/>
          <w:szCs w:val="24"/>
        </w:rPr>
        <w:t>材料必须期刊主管单位签字盖章。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个体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编辑楷模奖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数额10个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评选办法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个人申报与单位推荐相结合。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参评条件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连续编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龄</w:t>
      </w:r>
      <w:r>
        <w:rPr>
          <w:rFonts w:ascii="宋体" w:hAnsi="宋体" w:eastAsia="宋体" w:cs="宋体"/>
          <w:sz w:val="24"/>
          <w:szCs w:val="24"/>
        </w:rPr>
        <w:t>在30年以上，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择一业，终一生。有奉献精神，</w:t>
      </w:r>
      <w:r>
        <w:rPr>
          <w:rFonts w:ascii="宋体" w:hAnsi="宋体" w:eastAsia="宋体" w:cs="宋体"/>
          <w:sz w:val="24"/>
          <w:szCs w:val="24"/>
        </w:rPr>
        <w:t>对推动科技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期刊</w:t>
      </w:r>
      <w:r>
        <w:rPr>
          <w:rFonts w:ascii="宋体" w:hAnsi="宋体" w:eastAsia="宋体" w:cs="宋体"/>
          <w:sz w:val="24"/>
          <w:szCs w:val="24"/>
        </w:rPr>
        <w:t>发展做出贡献，是编辑公认的学习榜样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要有3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000字左右的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事迹</w:t>
      </w:r>
      <w:r>
        <w:rPr>
          <w:rFonts w:ascii="宋体" w:hAnsi="宋体" w:eastAsia="宋体" w:cs="宋体"/>
          <w:sz w:val="24"/>
          <w:szCs w:val="24"/>
        </w:rPr>
        <w:t>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事迹材料与相关证明材料，必须经</w:t>
      </w:r>
      <w:r>
        <w:rPr>
          <w:rFonts w:ascii="宋体" w:hAnsi="宋体" w:eastAsia="宋体" w:cs="宋体"/>
          <w:sz w:val="24"/>
          <w:szCs w:val="24"/>
        </w:rPr>
        <w:t>期刊主管单位签字盖章。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2.青年编辑英才奖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数额30个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评选办法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个人</w:t>
      </w:r>
      <w:r>
        <w:rPr>
          <w:rFonts w:ascii="宋体" w:hAnsi="宋体" w:eastAsia="宋体" w:cs="宋体"/>
          <w:sz w:val="24"/>
          <w:szCs w:val="24"/>
        </w:rPr>
        <w:t>申报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单位推荐相结合。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参评条件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连续编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龄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年以上，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年龄在45周岁左右。热爱编辑工作，勇担重担，有创新精神，能以身作则，群众基础好，受到大家的拥戴，能做青年的榜样，团队精神强，能带领大家共同进步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要有3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000字左右的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事迹</w:t>
      </w:r>
      <w:r>
        <w:rPr>
          <w:rFonts w:ascii="宋体" w:hAnsi="宋体" w:eastAsia="宋体" w:cs="宋体"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及相应的证明材料都必须经</w:t>
      </w:r>
      <w:r>
        <w:rPr>
          <w:rFonts w:ascii="宋体" w:hAnsi="宋体" w:eastAsia="宋体" w:cs="宋体"/>
          <w:sz w:val="24"/>
          <w:szCs w:val="24"/>
        </w:rPr>
        <w:t>期刊主管单位签字盖章。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3.学术贡献奖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数额20个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评选办法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参评条件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有编辑研究学术成果，经常在学会编辑出版的论文专辑上发表文章，并获得优秀论文奖，至少有一等奖优秀学术论文2篇，二等奖3篇，在学会举办的学术大会上宣读过自己撰写的论文。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4.特殊贡献奖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数额10个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评选办法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参评条件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对学会党建工作有贡献；对学会可持续发展有贡献；对学会创新发展有贡献，对学会开展学术活动有贡献；对培养与指导青年编辑成长有贡献。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五、申报活动起止时间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2023年8月1日至25日，过期不予受理。申报表可在学会网站上下载（http://hbessp.org.cn/index.php/view/258.html）。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电子版申报材料，请发学会邮箱:hbskjqkbjxh@163.com ；纸质版申报材料（盖章）请寄送至学会办公室：武汉理工大学余家头校区社科楼一楼101室。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相关问题咨询可拨打学会电话：027-86551243，13971495340  邹松园。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湖北省科学技术期刊编辑学会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2023-07-19</w:t>
      </w:r>
      <w:bookmarkStart w:id="0" w:name="_GoBack"/>
      <w:bookmarkEnd w:id="0"/>
    </w:p>
    <w:p>
      <w:pPr>
        <w:widowControl w:val="0"/>
        <w:wordWrap/>
        <w:adjustRightInd/>
        <w:snapToGrid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湖北省科学技术期刊编辑学会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先进集体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rPr>
          <w:rFonts w:hint="eastAsia"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</w:pPr>
      <w:r>
        <w:rPr>
          <w:rFonts w:hint="eastAsia" w:eastAsia="方正楷体简体" w:cs="Times New Roman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单位：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 xml:space="preserve">            </w:t>
      </w: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</w:p>
    <w:p>
      <w:pPr>
        <w:ind w:firstLine="1760" w:firstLineChars="550"/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填报时间：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年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月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日</w:t>
      </w:r>
    </w:p>
    <w:p>
      <w:pPr>
        <w:ind w:firstLine="1760" w:firstLineChars="550"/>
        <w:rPr>
          <w:rFonts w:hint="eastAsia" w:ascii="Times New Roman" w:hAnsi="Times New Roman" w:eastAsia="楷体_GB2312" w:cs="Times New Roman"/>
          <w:color w:val="000000"/>
          <w:sz w:val="32"/>
          <w:szCs w:val="32"/>
          <w:u w:val="singl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07" w:right="1531" w:bottom="907" w:left="1531" w:header="851" w:footer="1587" w:gutter="0"/>
          <w:pgNumType w:fmt="decimal"/>
          <w:cols w:space="720" w:num="1"/>
          <w:rtlGutter w:val="0"/>
          <w:docGrid w:type="linesAndChars" w:linePitch="312" w:charSpace="0"/>
        </w:sectPr>
      </w:pPr>
    </w:p>
    <w:tbl>
      <w:tblPr>
        <w:tblStyle w:val="6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404"/>
        <w:gridCol w:w="982"/>
        <w:gridCol w:w="1064"/>
        <w:gridCol w:w="174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申报单位（编辑部）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学会任职（单位）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编辑部人员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064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编辑部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72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编辑部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64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40"/>
                <w:sz w:val="24"/>
                <w:szCs w:val="24"/>
              </w:rPr>
              <w:t>拟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40"/>
                <w:sz w:val="24"/>
                <w:szCs w:val="24"/>
                <w:lang w:val="en-US" w:eastAsia="zh-CN"/>
              </w:rPr>
              <w:t>报奖项名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40"/>
                <w:sz w:val="24"/>
                <w:szCs w:val="24"/>
              </w:rPr>
              <w:t>称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1975" w:type="dxa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获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奖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1" w:hRule="atLeast"/>
          <w:jc w:val="center"/>
        </w:trPr>
        <w:tc>
          <w:tcPr>
            <w:tcW w:w="1975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主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要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事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迹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注：事迹材料不能少于3 000字。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975" w:type="dxa"/>
            <w:vAlign w:val="center"/>
          </w:tcPr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管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或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办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单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位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tabs>
                <w:tab w:val="left" w:pos="645"/>
              </w:tabs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编辑部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盖章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楷体" w:hAnsi="楷体" w:eastAsia="楷体" w:cs="楷体"/>
          <w:b w:val="0"/>
          <w:bCs w:val="0"/>
          <w:sz w:val="24"/>
          <w:szCs w:val="24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湖北省科学技术期刊编辑学会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先进工作者申报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rPr>
          <w:rFonts w:hint="eastAsia"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ind w:left="0" w:leftChars="0" w:firstLine="0" w:firstLineChars="0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ind w:firstLine="2880" w:firstLineChars="900"/>
        <w:jc w:val="both"/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single"/>
          <w:lang w:val="en-US"/>
        </w:rPr>
      </w:pPr>
      <w:r>
        <w:rPr>
          <w:rFonts w:hint="eastAsia" w:eastAsia="方正楷体简体" w:cs="Times New Roman"/>
          <w:color w:val="000000"/>
          <w:sz w:val="32"/>
          <w:szCs w:val="32"/>
          <w:u w:val="none"/>
          <w:lang w:val="en-US" w:eastAsia="zh-CN"/>
        </w:rPr>
        <w:t xml:space="preserve">姓  名：  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ind w:firstLine="2880" w:firstLineChars="900"/>
        <w:jc w:val="both"/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single"/>
          <w:lang w:val="en-US"/>
        </w:rPr>
      </w:pPr>
      <w:r>
        <w:rPr>
          <w:rFonts w:hint="eastAsia" w:eastAsia="方正楷体简体" w:cs="Times New Roman"/>
          <w:color w:val="000000"/>
          <w:sz w:val="32"/>
          <w:szCs w:val="32"/>
          <w:u w:val="none"/>
          <w:lang w:val="en-US" w:eastAsia="zh-CN"/>
        </w:rPr>
        <w:t>申报单位：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2880" w:firstLineChars="900"/>
        <w:jc w:val="both"/>
        <w:rPr>
          <w:rFonts w:hint="eastAsia" w:ascii="Times New Roman" w:hAnsi="Times New Roman" w:eastAsia="方正楷体简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填报时间：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年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月</w:t>
      </w:r>
      <w:r>
        <w:rPr>
          <w:rFonts w:hint="eastAsia" w:eastAsia="方正楷体简体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日</w:t>
      </w:r>
    </w:p>
    <w:p>
      <w:pPr>
        <w:ind w:firstLine="1449" w:firstLineChars="690"/>
        <w:jc w:val="center"/>
        <w:rPr>
          <w:rFonts w:hint="eastAsia" w:ascii="Times New Roman" w:hAnsi="Times New Roman" w:eastAsia="楷体_GB2312" w:cs="Times New Roman"/>
          <w:color w:val="000000"/>
        </w:rPr>
        <w:sectPr>
          <w:pgSz w:w="11906" w:h="16838"/>
          <w:pgMar w:top="1191" w:right="1191" w:bottom="1077" w:left="1191" w:header="851" w:footer="1587" w:gutter="0"/>
          <w:pgNumType w:fmt="decimal"/>
          <w:cols w:space="720" w:num="1"/>
          <w:rtlGutter w:val="0"/>
          <w:docGrid w:type="linesAndChars" w:linePitch="312" w:charSpace="0"/>
        </w:sectPr>
      </w:pP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3"/>
        <w:gridCol w:w="1476"/>
        <w:gridCol w:w="998"/>
        <w:gridCol w:w="167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46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3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46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73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4023" w:type="dxa"/>
            <w:gridSpan w:val="2"/>
            <w:vAlign w:val="center"/>
          </w:tcPr>
          <w:p>
            <w:pPr>
              <w:widowControl w:val="0"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  <w:p>
            <w:pPr>
              <w:widowControl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7970" w:type="dxa"/>
            <w:gridSpan w:val="5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拟授称号</w:t>
            </w:r>
          </w:p>
          <w:p>
            <w:pPr>
              <w:widowControl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7970" w:type="dxa"/>
            <w:gridSpan w:val="5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获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奖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970" w:type="dxa"/>
            <w:gridSpan w:val="5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5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1470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迹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注：事迹材料不能少于3 000字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970" w:type="dxa"/>
            <w:gridSpan w:val="5"/>
            <w:vAlign w:val="center"/>
          </w:tcPr>
          <w:p>
            <w:pPr>
              <w:widowControl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widowControl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470" w:type="dxa"/>
            <w:vAlign w:val="top"/>
          </w:tcPr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单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位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70" w:type="dxa"/>
            <w:gridSpan w:val="5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编辑部盖章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napToGrid/>
              <w:spacing w:line="400" w:lineRule="exact"/>
              <w:ind w:firstLine="456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986" w:right="896" w:bottom="1043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GM3OTM1NTUxNDE3YTI0NDRmOTY2YWU3ZjJmOTcifQ=="/>
  </w:docVars>
  <w:rsids>
    <w:rsidRoot w:val="75936DFB"/>
    <w:rsid w:val="35531DB4"/>
    <w:rsid w:val="609D3F4F"/>
    <w:rsid w:val="75886D7B"/>
    <w:rsid w:val="759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1230</Words>
  <Characters>1279</Characters>
  <Lines>0</Lines>
  <Paragraphs>0</Paragraphs>
  <TotalTime>12</TotalTime>
  <ScaleCrop>false</ScaleCrop>
  <LinksUpToDate>false</LinksUpToDate>
  <CharactersWithSpaces>1563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2023-07-13T08:18:00Z</dcterms:created>
  <dc:creator>Administrator</dc:creator>
  <cp:lastModifiedBy>Administrator</cp:lastModifiedBy>
  <dcterms:modified xsi:type="dcterms:W3CDTF">2023-07-19T08:36:40Z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37AB881A673E46F7A06757B380181F92_11</vt:lpwstr>
  </property>
</Properties>
</file>